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55B3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60588001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E33873F" w14:textId="77777777"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9D85068" w14:textId="77777777"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A917B6C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A38CFAE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1083F9D7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3214665A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A75BD7" w14:textId="77777777"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7B3C71" w14:textId="77777777"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50CAA61F" w14:textId="77777777"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0953E2C2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14:paraId="722EEABD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CF052B1" w14:textId="77777777"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14:paraId="7AA117DB" w14:textId="77777777" w:rsidR="006A492D" w:rsidRDefault="006A492D" w:rsidP="006A492D">
      <w:pPr>
        <w:pStyle w:val="Default"/>
        <w:spacing w:line="276" w:lineRule="auto"/>
        <w:jc w:val="center"/>
      </w:pPr>
    </w:p>
    <w:p w14:paraId="111D184F" w14:textId="77777777"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243A49F8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6B347C91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579BBFD5" w14:textId="77777777" w:rsidR="006A492D" w:rsidRDefault="006A492D" w:rsidP="006A492D">
      <w:pPr>
        <w:pStyle w:val="Default"/>
        <w:jc w:val="center"/>
        <w:rPr>
          <w:rFonts w:ascii="Cambria" w:hAnsi="Cambria"/>
        </w:rPr>
      </w:pPr>
    </w:p>
    <w:p w14:paraId="0D1B43A5" w14:textId="77777777"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14:paraId="69FECEAE" w14:textId="2D30E60D"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7E17D6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7E17D6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DF3F21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r>
        <w:rPr>
          <w:rFonts w:cs="Arial"/>
        </w:rPr>
        <w:t>Závěrečném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125C00FD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mobility/dopravy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>veřejné dopravy a multimodality,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>ákup nízkoemisních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>cích a dobíjecích stanic pro nízkoemisní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(na bázi principů managementu mobility – programy/projekty na podporu veřejné dopravy, cyklodopravy,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27D61A5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</w:t>
            </w:r>
            <w:r w:rsidR="001711BE">
              <w:rPr>
                <w:rFonts w:cs="Arial"/>
                <w:i/>
                <w:sz w:val="20"/>
                <w:szCs w:val="20"/>
              </w:rPr>
              <w:t> </w:t>
            </w:r>
            <w:r w:rsidR="00874C8B">
              <w:rPr>
                <w:rFonts w:cs="Arial"/>
                <w:i/>
                <w:sz w:val="20"/>
                <w:szCs w:val="20"/>
              </w:rPr>
              <w:t>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B92C" w14:textId="77777777" w:rsidR="002D617C" w:rsidRDefault="002D617C" w:rsidP="00634381">
      <w:pPr>
        <w:spacing w:after="0" w:line="240" w:lineRule="auto"/>
      </w:pPr>
      <w:r>
        <w:separator/>
      </w:r>
    </w:p>
  </w:endnote>
  <w:endnote w:type="continuationSeparator" w:id="0">
    <w:p w14:paraId="614A05B6" w14:textId="77777777" w:rsidR="002D617C" w:rsidRDefault="002D617C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52274BDB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A7768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A7768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54B407BD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A7768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A7768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47CE" w14:textId="77777777" w:rsidR="002D617C" w:rsidRDefault="002D617C" w:rsidP="00634381">
      <w:pPr>
        <w:spacing w:after="0" w:line="240" w:lineRule="auto"/>
      </w:pPr>
      <w:r>
        <w:separator/>
      </w:r>
    </w:p>
  </w:footnote>
  <w:footnote w:type="continuationSeparator" w:id="0">
    <w:p w14:paraId="07BD121B" w14:textId="77777777" w:rsidR="002D617C" w:rsidRDefault="002D617C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A7768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11BE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17C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3B13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17D6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E6BB5"/>
    <w:rsid w:val="00DF0A55"/>
    <w:rsid w:val="00DF3F21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4020-531C-4B14-B6F9-FFA4A13E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Uživatel systému Windows</cp:lastModifiedBy>
  <cp:revision>2</cp:revision>
  <cp:lastPrinted>2019-03-21T08:48:00Z</cp:lastPrinted>
  <dcterms:created xsi:type="dcterms:W3CDTF">2019-03-21T08:48:00Z</dcterms:created>
  <dcterms:modified xsi:type="dcterms:W3CDTF">2019-03-21T08:48:00Z</dcterms:modified>
</cp:coreProperties>
</file>